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80" w:line="336" w:lineRule="auto"/>
        <w:jc w:val="center"/>
      </w:pPr>
      <w:r>
        <w:rPr>
          <w:rFonts w:ascii="Times New Roman" w:hAnsi="Times New Roman" w:eastAsia="黑体"/>
          <w:b/>
          <w:sz w:val="44"/>
        </w:rPr>
        <w:t>会 议 纪 要</w:t>
      </w:r>
    </w:p>
    <w:p>
      <w:pPr>
        <w:spacing w:before="0" w:after="240" w:line="336" w:lineRule="auto"/>
        <w:jc w:val="center"/>
      </w:pPr>
      <w:r>
        <w:rPr>
          <w:rFonts w:ascii="Times New Roman" w:hAnsi="Times New Roman" w:eastAsia="黑体"/>
          <w:b/>
          <w:sz w:val="30"/>
        </w:rPr>
        <w:t>糖业业务应用平台建设交流会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533"/>
        <w:gridCol w:w="4533"/>
      </w:tblGrid>
      <w:tr>
        <w:tc>
          <w:tcPr>
            <w:tcW w:type="dxa" w:w="1984"/>
          </w:tcPr>
          <w:p>
            <w:r>
              <w:rPr>
                <w:rFonts w:ascii="Times New Roman" w:hAnsi="Times New Roman" w:eastAsia="黑体"/>
                <w:b/>
                <w:sz w:val="24"/>
              </w:rPr>
              <w:t>会议主题</w:t>
            </w:r>
          </w:p>
        </w:tc>
        <w:tc>
          <w:tcPr>
            <w:tcW w:type="dxa" w:w="6520"/>
          </w:tcPr>
          <w:p>
            <w:r>
              <w:rPr>
                <w:rFonts w:ascii="Times New Roman" w:hAnsi="Times New Roman" w:eastAsia="宋体"/>
                <w:b w:val="0"/>
                <w:sz w:val="24"/>
              </w:rPr>
              <w:t>糖业业务应用统一承载平台选型及建设路径交流</w:t>
            </w:r>
          </w:p>
        </w:tc>
      </w:tr>
      <w:tr>
        <w:tc>
          <w:tcPr>
            <w:tcW w:type="dxa" w:w="1984"/>
          </w:tcPr>
          <w:p>
            <w:r>
              <w:rPr>
                <w:rFonts w:ascii="Times New Roman" w:hAnsi="Times New Roman" w:eastAsia="黑体"/>
                <w:b/>
                <w:sz w:val="24"/>
              </w:rPr>
              <w:t>会议时间</w:t>
            </w:r>
          </w:p>
        </w:tc>
        <w:tc>
          <w:tcPr>
            <w:tcW w:type="dxa" w:w="6520"/>
          </w:tcPr>
          <w:p>
            <w:r>
              <w:rPr>
                <w:rFonts w:ascii="Times New Roman" w:hAnsi="Times New Roman" w:eastAsia="宋体"/>
                <w:b w:val="0"/>
                <w:sz w:val="24"/>
              </w:rPr>
              <w:t>2026年7月29日</w:t>
            </w:r>
          </w:p>
        </w:tc>
      </w:tr>
      <w:tr>
        <w:tc>
          <w:tcPr>
            <w:tcW w:type="dxa" w:w="1984"/>
          </w:tcPr>
          <w:p>
            <w:r>
              <w:rPr>
                <w:rFonts w:ascii="Times New Roman" w:hAnsi="Times New Roman" w:eastAsia="黑体"/>
                <w:b/>
                <w:sz w:val="24"/>
              </w:rPr>
              <w:t>会议地点</w:t>
            </w:r>
          </w:p>
        </w:tc>
        <w:tc>
          <w:tcPr>
            <w:tcW w:type="dxa" w:w="6520"/>
          </w:tcPr>
          <w:p>
            <w:r>
              <w:rPr>
                <w:rFonts w:ascii="Times New Roman" w:hAnsi="Times New Roman" w:eastAsia="宋体"/>
                <w:b w:val="0"/>
                <w:sz w:val="24"/>
              </w:rPr>
              <w:t>（线上/线下会议室，待补充）</w:t>
            </w:r>
          </w:p>
        </w:tc>
      </w:tr>
      <w:tr>
        <w:tc>
          <w:tcPr>
            <w:tcW w:type="dxa" w:w="1984"/>
          </w:tcPr>
          <w:p>
            <w:r>
              <w:rPr>
                <w:rFonts w:ascii="Times New Roman" w:hAnsi="Times New Roman" w:eastAsia="黑体"/>
                <w:b/>
                <w:sz w:val="24"/>
              </w:rPr>
              <w:t>参会方</w:t>
            </w:r>
          </w:p>
        </w:tc>
        <w:tc>
          <w:tcPr>
            <w:tcW w:type="dxa" w:w="6520"/>
          </w:tcPr>
          <w:p>
            <w:r>
              <w:rPr>
                <w:rFonts w:ascii="Times New Roman" w:hAnsi="Times New Roman" w:eastAsia="宋体"/>
                <w:b w:val="0"/>
                <w:sz w:val="24"/>
              </w:rPr>
              <w:t>糖业业务侧、信科侧</w:t>
            </w:r>
          </w:p>
        </w:tc>
      </w:tr>
      <w:tr>
        <w:tc>
          <w:tcPr>
            <w:tcW w:type="dxa" w:w="1984"/>
          </w:tcPr>
          <w:p>
            <w:r>
              <w:rPr>
                <w:rFonts w:ascii="Times New Roman" w:hAnsi="Times New Roman" w:eastAsia="黑体"/>
                <w:b/>
                <w:sz w:val="24"/>
              </w:rPr>
              <w:t>记录人</w:t>
            </w:r>
          </w:p>
        </w:tc>
        <w:tc>
          <w:tcPr>
            <w:tcW w:type="dxa" w:w="6520"/>
          </w:tcPr>
          <w:p>
            <w:r>
              <w:rPr>
                <w:rFonts w:ascii="Times New Roman" w:hAnsi="Times New Roman" w:eastAsia="宋体"/>
                <w:b w:val="0"/>
                <w:sz w:val="24"/>
              </w:rPr>
              <w:t>（待补充）</w:t>
            </w:r>
          </w:p>
        </w:tc>
      </w:tr>
    </w:tbl>
    <w:p>
      <w:pPr>
        <w:spacing w:before="0" w:after="0" w:line="336" w:lineRule="auto"/>
      </w:pPr>
      <w:r>
        <w:rPr>
          <w:rFonts w:ascii="Times New Roman" w:hAnsi="Times New Roman" w:eastAsia="宋体"/>
          <w:b w:val="0"/>
          <w:sz w:val="12"/>
        </w:rPr>
      </w:r>
    </w:p>
    <w:p>
      <w:pPr>
        <w:spacing w:before="240" w:after="120" w:line="336" w:lineRule="auto"/>
      </w:pPr>
      <w:r>
        <w:rPr>
          <w:rFonts w:ascii="Times New Roman" w:hAnsi="Times New Roman" w:eastAsia="黑体"/>
          <w:b/>
          <w:sz w:val="30"/>
        </w:rPr>
        <w:t>一、会议背景</w:t>
      </w:r>
    </w:p>
    <w:p>
      <w:pPr>
        <w:spacing w:before="0" w:after="120" w:line="336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糖业希望建设一套能够承载并落地业务应用的统一平台。目前信科侧已提供 Seedmind 知识库、星火智能体平台、Qoderwork 等多款产品，但糖业对各产品的定位与适用场景边界尚不清晰，存在选型困难。本次会议围绕产品定位、平台互通、权限管理及数据统一管理等问题进行交流。</w:t>
      </w:r>
    </w:p>
    <w:p>
      <w:pPr>
        <w:spacing w:before="240" w:after="120" w:line="336" w:lineRule="auto"/>
      </w:pPr>
      <w:r>
        <w:rPr>
          <w:rFonts w:ascii="Times New Roman" w:hAnsi="Times New Roman" w:eastAsia="黑体"/>
          <w:b/>
          <w:sz w:val="30"/>
        </w:rPr>
        <w:t>二、糖业现状</w:t>
      </w:r>
    </w:p>
    <w:p>
      <w:pPr>
        <w:spacing w:before="0" w:after="120" w:line="336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1. 糖业各业务组已能够借助 Workbuddy、Qoderwork 制作业务相关网页和小应用，并积累了不少应用原型。</w:t>
      </w:r>
    </w:p>
    <w:p>
      <w:pPr>
        <w:spacing w:before="0" w:after="120" w:line="336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2. 团队整体技术理念更新快，管理层大力支持“业务驱动技术”的建设模式，希望进一步推动业务人员参与应用创新。</w:t>
      </w:r>
    </w:p>
    <w:p>
      <w:pPr>
        <w:spacing w:before="0" w:after="120" w:line="336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3. 现阶段这些分散的网页和小应用缺少统一的平台进行承载、管理和推广，需要依托星火智能体平台作为业务应用的统一入口和运营载体。</w:t>
      </w:r>
    </w:p>
    <w:p>
      <w:pPr>
        <w:spacing w:before="240" w:after="120" w:line="336" w:lineRule="auto"/>
      </w:pPr>
      <w:r>
        <w:rPr>
          <w:rFonts w:ascii="Times New Roman" w:hAnsi="Times New Roman" w:eastAsia="黑体"/>
          <w:b/>
          <w:sz w:val="30"/>
        </w:rPr>
        <w:t>三、糖业提出的核心问题（以星火智能体平台和 Qoderwork 为例）</w:t>
      </w:r>
    </w:p>
    <w:p>
      <w:pPr>
        <w:spacing w:before="160" w:after="80" w:line="336" w:lineRule="auto"/>
      </w:pPr>
      <w:r>
        <w:rPr>
          <w:rFonts w:ascii="Times New Roman" w:hAnsi="Times New Roman" w:eastAsia="黑体"/>
          <w:b/>
          <w:sz w:val="26"/>
        </w:rPr>
        <w:t>（一）产品定位与场景分工</w:t>
      </w:r>
    </w:p>
    <w:p>
      <w:pPr>
        <w:spacing w:before="0" w:after="120" w:line="336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1. 两个平台分别适合承载哪些业务场景？</w:t>
      </w:r>
    </w:p>
    <w:p>
      <w:pPr>
        <w:spacing w:before="0" w:after="120" w:line="336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2. 不同业务流程在两个平台之间如何分工？</w:t>
      </w:r>
    </w:p>
    <w:p>
      <w:pPr>
        <w:spacing w:before="160" w:after="80" w:line="336" w:lineRule="auto"/>
      </w:pPr>
      <w:r>
        <w:rPr>
          <w:rFonts w:ascii="Times New Roman" w:hAnsi="Times New Roman" w:eastAsia="黑体"/>
          <w:b/>
          <w:sz w:val="26"/>
        </w:rPr>
        <w:t>（二）平台互通</w:t>
      </w:r>
    </w:p>
    <w:p>
      <w:pPr>
        <w:spacing w:before="0" w:after="120" w:line="336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1. 星火智能体平台与 Qoderwork 后续是否能够实现互通？</w:t>
      </w:r>
    </w:p>
    <w:p>
      <w:pPr>
        <w:spacing w:before="0" w:after="120" w:line="336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2. 互通的具体方式和边界是什么？</w:t>
      </w:r>
    </w:p>
    <w:p>
      <w:pPr>
        <w:spacing w:before="160" w:after="80" w:line="336" w:lineRule="auto"/>
      </w:pPr>
      <w:r>
        <w:rPr>
          <w:rFonts w:ascii="Times New Roman" w:hAnsi="Times New Roman" w:eastAsia="黑体"/>
          <w:b/>
          <w:sz w:val="26"/>
        </w:rPr>
        <w:t>（三）权限与分享机制</w:t>
      </w:r>
    </w:p>
    <w:p>
      <w:pPr>
        <w:spacing w:before="0" w:after="120" w:line="336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1. Skill、应用以及知识库的权限分配是否可以细化到个人？</w:t>
      </w:r>
    </w:p>
    <w:p>
      <w:pPr>
        <w:spacing w:before="0" w:after="120" w:line="336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2. 是否有类似“智能体商店”的机制，供大家分享智能体/应用？</w:t>
      </w:r>
    </w:p>
    <w:p>
      <w:pPr>
        <w:spacing w:before="160" w:after="80" w:line="336" w:lineRule="auto"/>
      </w:pPr>
      <w:r>
        <w:rPr>
          <w:rFonts w:ascii="Times New Roman" w:hAnsi="Times New Roman" w:eastAsia="黑体"/>
          <w:b/>
          <w:sz w:val="26"/>
        </w:rPr>
        <w:t>（四）知识库及数据库统一管理</w:t>
      </w:r>
    </w:p>
    <w:p>
      <w:pPr>
        <w:spacing w:before="0" w:after="120" w:line="336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1. 知识库及数据库如何进行统一管理？</w:t>
      </w:r>
    </w:p>
    <w:p>
      <w:pPr>
        <w:spacing w:before="0" w:after="120" w:line="336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2. Qoderwork 个人 Agent 平台所连接的数据库，是否与星火智能体平台对应数据库一致？</w:t>
      </w:r>
    </w:p>
    <w:p>
      <w:pPr>
        <w:spacing w:before="0" w:after="120" w:line="336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3. 若不一致，数据分散在不同平台，后续管理可能存在问题，需明确解决方案。</w:t>
      </w:r>
    </w:p>
    <w:p>
      <w:pPr>
        <w:spacing w:before="240" w:after="120" w:line="336" w:lineRule="auto"/>
      </w:pPr>
      <w:r>
        <w:rPr>
          <w:rFonts w:ascii="Times New Roman" w:hAnsi="Times New Roman" w:eastAsia="黑体"/>
          <w:b/>
          <w:sz w:val="30"/>
        </w:rPr>
        <w:t>四、会议共识</w:t>
      </w:r>
    </w:p>
    <w:p>
      <w:pPr>
        <w:spacing w:before="0" w:after="120" w:line="336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1. 平台定位：星火智能体平台将作为糖业业务应用的统一入口和运营载体，承载分散的网页、小应用的统一管理与推广。</w:t>
      </w:r>
    </w:p>
    <w:p>
      <w:pPr>
        <w:spacing w:before="0" w:after="120" w:line="336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2. 建设模式：延续“业务驱动技术”模式，业务人员持续参与应用创新，信科侧提供平台能力支撑。</w:t>
      </w:r>
    </w:p>
    <w:p>
      <w:pPr>
        <w:spacing w:before="0" w:after="120" w:line="336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3. 推进方式：由糖业提供通用需求及应用原型，信科侧优先在星火智能体平台完成应用搭建和效果展示，以点带面推进平台落地。</w:t>
      </w:r>
    </w:p>
    <w:p>
      <w:pPr>
        <w:spacing w:before="240" w:after="120" w:line="336" w:lineRule="auto"/>
      </w:pPr>
      <w:r>
        <w:rPr>
          <w:rFonts w:ascii="Times New Roman" w:hAnsi="Times New Roman" w:eastAsia="黑体"/>
          <w:b/>
          <w:sz w:val="30"/>
        </w:rPr>
        <w:t>五、下一步行动计划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266"/>
        <w:gridCol w:w="2266"/>
        <w:gridCol w:w="2266"/>
        <w:gridCol w:w="2266"/>
      </w:tblGrid>
      <w:tr>
        <w:tc>
          <w:tcPr>
            <w:tcW w:type="dxa" w:w="794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sz w:val="24"/>
              </w:rPr>
              <w:t>序号</w:t>
            </w:r>
          </w:p>
        </w:tc>
        <w:tc>
          <w:tcPr>
            <w:tcW w:type="dxa" w:w="5443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sz w:val="24"/>
              </w:rPr>
              <w:t>事项</w:t>
            </w:r>
          </w:p>
        </w:tc>
        <w:tc>
          <w:tcPr>
            <w:tcW w:type="dxa" w:w="1134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sz w:val="24"/>
              </w:rPr>
              <w:t>责任方</w:t>
            </w:r>
          </w:p>
        </w:tc>
        <w:tc>
          <w:tcPr>
            <w:tcW w:type="dxa" w:w="1134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sz w:val="24"/>
              </w:rPr>
              <w:t>时间要求</w:t>
            </w:r>
          </w:p>
        </w:tc>
      </w:tr>
      <w:tr>
        <w:tc>
          <w:tcPr>
            <w:tcW w:type="dxa" w:w="79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2"/>
              </w:rPr>
              <w:t>1</w:t>
            </w:r>
          </w:p>
        </w:tc>
        <w:tc>
          <w:tcPr>
            <w:tcW w:type="dxa" w:w="5443"/>
          </w:tcPr>
          <w:p>
            <w:r>
              <w:rPr>
                <w:rFonts w:ascii="Times New Roman" w:hAnsi="Times New Roman" w:eastAsia="宋体"/>
                <w:b w:val="0"/>
                <w:sz w:val="22"/>
              </w:rPr>
              <w:t>梳理并提供现有通用需求清单及部分应用原型</w:t>
            </w:r>
          </w:p>
        </w:tc>
        <w:tc>
          <w:tcPr>
            <w:tcW w:type="dxa" w:w="11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2"/>
              </w:rPr>
              <w:t>糖业</w:t>
            </w:r>
          </w:p>
        </w:tc>
        <w:tc>
          <w:tcPr>
            <w:tcW w:type="dxa" w:w="11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2"/>
              </w:rPr>
              <w:t>待定</w:t>
            </w:r>
          </w:p>
        </w:tc>
      </w:tr>
      <w:tr>
        <w:tc>
          <w:tcPr>
            <w:tcW w:type="dxa" w:w="79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2"/>
              </w:rPr>
              <w:t>2</w:t>
            </w:r>
          </w:p>
        </w:tc>
        <w:tc>
          <w:tcPr>
            <w:tcW w:type="dxa" w:w="5443"/>
          </w:tcPr>
          <w:p>
            <w:r>
              <w:rPr>
                <w:rFonts w:ascii="Times New Roman" w:hAnsi="Times New Roman" w:eastAsia="宋体"/>
                <w:b w:val="0"/>
                <w:sz w:val="22"/>
              </w:rPr>
              <w:t>基于糖业提供的需求与原型，在星火智能体平台优先完成应用搭建和初步效果展示</w:t>
            </w:r>
          </w:p>
        </w:tc>
        <w:tc>
          <w:tcPr>
            <w:tcW w:type="dxa" w:w="11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2"/>
              </w:rPr>
              <w:t>信科侧</w:t>
            </w:r>
          </w:p>
        </w:tc>
        <w:tc>
          <w:tcPr>
            <w:tcW w:type="dxa" w:w="11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2"/>
              </w:rPr>
              <w:t>待定</w:t>
            </w:r>
          </w:p>
        </w:tc>
      </w:tr>
      <w:tr>
        <w:tc>
          <w:tcPr>
            <w:tcW w:type="dxa" w:w="79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2"/>
              </w:rPr>
              <w:t>3</w:t>
            </w:r>
          </w:p>
        </w:tc>
        <w:tc>
          <w:tcPr>
            <w:tcW w:type="dxa" w:w="5443"/>
          </w:tcPr>
          <w:p>
            <w:r>
              <w:rPr>
                <w:rFonts w:ascii="Times New Roman" w:hAnsi="Times New Roman" w:eastAsia="宋体"/>
                <w:b w:val="0"/>
                <w:sz w:val="22"/>
              </w:rPr>
              <w:t>明确 Seedmind、星火智能体平台、Qoderwork 各产品定位、适用场景边界及业务流程分工说明</w:t>
            </w:r>
          </w:p>
        </w:tc>
        <w:tc>
          <w:tcPr>
            <w:tcW w:type="dxa" w:w="11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2"/>
              </w:rPr>
              <w:t>信科侧</w:t>
            </w:r>
          </w:p>
        </w:tc>
        <w:tc>
          <w:tcPr>
            <w:tcW w:type="dxa" w:w="11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2"/>
              </w:rPr>
              <w:t>待定</w:t>
            </w:r>
          </w:p>
        </w:tc>
      </w:tr>
      <w:tr>
        <w:tc>
          <w:tcPr>
            <w:tcW w:type="dxa" w:w="79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2"/>
              </w:rPr>
              <w:t>4</w:t>
            </w:r>
          </w:p>
        </w:tc>
        <w:tc>
          <w:tcPr>
            <w:tcW w:type="dxa" w:w="5443"/>
          </w:tcPr>
          <w:p>
            <w:r>
              <w:rPr>
                <w:rFonts w:ascii="Times New Roman" w:hAnsi="Times New Roman" w:eastAsia="宋体"/>
                <w:b w:val="0"/>
                <w:sz w:val="22"/>
              </w:rPr>
              <w:t>反馈星火智能体平台与 Qoderwork 的互通方案（方式与边界）</w:t>
            </w:r>
          </w:p>
        </w:tc>
        <w:tc>
          <w:tcPr>
            <w:tcW w:type="dxa" w:w="11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2"/>
              </w:rPr>
              <w:t>信科侧</w:t>
            </w:r>
          </w:p>
        </w:tc>
        <w:tc>
          <w:tcPr>
            <w:tcW w:type="dxa" w:w="11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2"/>
              </w:rPr>
              <w:t>待定</w:t>
            </w:r>
          </w:p>
        </w:tc>
      </w:tr>
      <w:tr>
        <w:tc>
          <w:tcPr>
            <w:tcW w:type="dxa" w:w="79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2"/>
              </w:rPr>
              <w:t>5</w:t>
            </w:r>
          </w:p>
        </w:tc>
        <w:tc>
          <w:tcPr>
            <w:tcW w:type="dxa" w:w="5443"/>
          </w:tcPr>
          <w:p>
            <w:r>
              <w:rPr>
                <w:rFonts w:ascii="Times New Roman" w:hAnsi="Times New Roman" w:eastAsia="宋体"/>
                <w:b w:val="0"/>
                <w:sz w:val="22"/>
              </w:rPr>
              <w:t>明确 Skill、应用、知识库的个人级权限分配方案及智能体商店/分享机制</w:t>
            </w:r>
          </w:p>
        </w:tc>
        <w:tc>
          <w:tcPr>
            <w:tcW w:type="dxa" w:w="11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2"/>
              </w:rPr>
              <w:t>信科侧</w:t>
            </w:r>
          </w:p>
        </w:tc>
        <w:tc>
          <w:tcPr>
            <w:tcW w:type="dxa" w:w="11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2"/>
              </w:rPr>
              <w:t>待定</w:t>
            </w:r>
          </w:p>
        </w:tc>
      </w:tr>
      <w:tr>
        <w:tc>
          <w:tcPr>
            <w:tcW w:type="dxa" w:w="79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2"/>
              </w:rPr>
              <w:t>6</w:t>
            </w:r>
          </w:p>
        </w:tc>
        <w:tc>
          <w:tcPr>
            <w:tcW w:type="dxa" w:w="5443"/>
          </w:tcPr>
          <w:p>
            <w:r>
              <w:rPr>
                <w:rFonts w:ascii="Times New Roman" w:hAnsi="Times New Roman" w:eastAsia="宋体"/>
                <w:b w:val="0"/>
                <w:sz w:val="22"/>
              </w:rPr>
              <w:t>给出知识库与数据库统一管理方案，并说明 Qoderwork 与星火智能体平台数据库的一致性及数据治理措施</w:t>
            </w:r>
          </w:p>
        </w:tc>
        <w:tc>
          <w:tcPr>
            <w:tcW w:type="dxa" w:w="11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2"/>
              </w:rPr>
              <w:t>信科侧</w:t>
            </w:r>
          </w:p>
        </w:tc>
        <w:tc>
          <w:tcPr>
            <w:tcW w:type="dxa" w:w="1134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2"/>
              </w:rPr>
              <w:t>待定</w:t>
            </w:r>
          </w:p>
        </w:tc>
      </w:tr>
    </w:tbl>
    <w:p>
      <w:pPr>
        <w:spacing w:before="0" w:after="0" w:line="336" w:lineRule="auto"/>
      </w:pPr>
      <w:r>
        <w:rPr>
          <w:rFonts w:ascii="Times New Roman" w:hAnsi="Times New Roman" w:eastAsia="宋体"/>
          <w:b w:val="0"/>
          <w:sz w:val="12"/>
        </w:rPr>
      </w:r>
    </w:p>
    <w:p>
      <w:pPr>
        <w:spacing w:before="240" w:after="120" w:line="336" w:lineRule="auto"/>
      </w:pPr>
      <w:r>
        <w:rPr>
          <w:rFonts w:ascii="Times New Roman" w:hAnsi="Times New Roman" w:eastAsia="黑体"/>
          <w:b/>
          <w:sz w:val="30"/>
        </w:rPr>
        <w:t>六、待确认事项</w:t>
      </w:r>
    </w:p>
    <w:p>
      <w:pPr>
        <w:spacing w:before="0" w:after="120" w:line="336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1. 各行动事项的具体完成时间节点及对接人；</w:t>
      </w:r>
    </w:p>
    <w:p>
      <w:pPr>
        <w:spacing w:before="0" w:after="120" w:line="336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2. 首批优先搭建的应用原型清单及优先级排序；</w:t>
      </w:r>
    </w:p>
    <w:p>
      <w:pPr>
        <w:spacing w:before="0" w:after="120" w:line="336" w:lineRule="auto"/>
        <w:ind w:firstLine="480"/>
      </w:pPr>
      <w:r>
        <w:rPr>
          <w:rFonts w:ascii="Times New Roman" w:hAnsi="Times New Roman" w:eastAsia="宋体"/>
          <w:b w:val="0"/>
          <w:sz w:val="24"/>
        </w:rPr>
        <w:t>3. 后续例会沟通机制（建议定期同步应用搭建进展）。</w:t>
      </w:r>
    </w:p>
    <w:sectPr w:rsidR="00FC693F" w:rsidRPr="0006063C" w:rsidSect="00034616">
      <w:pgSz w:w="12240" w:h="15840"/>
      <w:pgMar w:top="1417" w:right="1587" w:bottom="1417" w:left="158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eastAsia="宋体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